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C0" w:rsidRPr="00E06EC0" w:rsidRDefault="00E06EC0" w:rsidP="00E06EC0">
      <w:pPr>
        <w:shd w:val="clear" w:color="auto" w:fill="FFFFFF"/>
        <w:spacing w:after="225" w:line="540" w:lineRule="atLeast"/>
        <w:jc w:val="center"/>
        <w:outlineLvl w:val="0"/>
        <w:rPr>
          <w:rFonts w:ascii="Georgia" w:eastAsia="Times New Roman" w:hAnsi="Georgia" w:cs="Times New Roman"/>
          <w:color w:val="444444"/>
          <w:kern w:val="36"/>
          <w:sz w:val="36"/>
          <w:szCs w:val="36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kern w:val="36"/>
          <w:sz w:val="36"/>
          <w:szCs w:val="36"/>
          <w:lang w:eastAsia="ru-RU"/>
        </w:rPr>
        <w:t>Основные причины возникновения пожара</w:t>
      </w:r>
    </w:p>
    <w:p w:rsidR="00E06EC0" w:rsidRPr="00E06EC0" w:rsidRDefault="00E06EC0" w:rsidP="00E06EC0">
      <w:pPr>
        <w:shd w:val="clear" w:color="auto" w:fill="FFFFFF"/>
        <w:spacing w:before="375" w:after="225" w:line="270" w:lineRule="atLeast"/>
        <w:jc w:val="center"/>
        <w:outlineLvl w:val="2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Возникновение пожара в жилых помещениях обусловлено следующими причинами:</w:t>
      </w:r>
    </w:p>
    <w:p w:rsidR="00E06EC0" w:rsidRPr="00E06EC0" w:rsidRDefault="00E06EC0" w:rsidP="00E06EC0">
      <w:pPr>
        <w:shd w:val="clear" w:color="auto" w:fill="FFFFFF"/>
        <w:spacing w:before="225" w:after="225" w:line="300" w:lineRule="atLeast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120000" cy="2353846"/>
            <wp:effectExtent l="0" t="0" r="0" b="8890"/>
            <wp:docPr id="4" name="Рисунок 4" descr="prichini pozha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hini pozhar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3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Игнорирование основных правил пожарной безопасности</w:t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Неисправность электрической проводки</w:t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Возгорание электроприборов — неисправных, самодельных или оставленных без присмотра</w:t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Утечка газа</w:t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Неосторожное использование печей и каминов</w:t>
      </w:r>
    </w:p>
    <w:p w:rsidR="00E06EC0" w:rsidRPr="00E06EC0" w:rsidRDefault="00E06EC0" w:rsidP="00E06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Неосторожное обращение с огнем и шалость детей</w:t>
      </w:r>
    </w:p>
    <w:p w:rsidR="00E06EC0" w:rsidRPr="00E06EC0" w:rsidRDefault="00E06EC0" w:rsidP="00E06EC0">
      <w:pPr>
        <w:shd w:val="clear" w:color="auto" w:fill="FFFFFF"/>
        <w:spacing w:before="375" w:after="225" w:line="270" w:lineRule="atLeast"/>
        <w:jc w:val="center"/>
        <w:outlineLvl w:val="2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Возгорания на предприятиях происходят по следующим причинам:</w:t>
      </w:r>
    </w:p>
    <w:p w:rsidR="00E06EC0" w:rsidRPr="00E06EC0" w:rsidRDefault="00E06EC0" w:rsidP="00E06EC0">
      <w:pPr>
        <w:shd w:val="clear" w:color="auto" w:fill="FFFFFF"/>
        <w:spacing w:before="225" w:after="225" w:line="30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120000" cy="2353846"/>
            <wp:effectExtent l="0" t="0" r="0" b="8890"/>
            <wp:docPr id="3" name="Рисунок 3" descr="prichini pozha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chini pozhar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3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0" w:rsidRPr="00E06EC0" w:rsidRDefault="00E06EC0" w:rsidP="00E06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Здание построено без соблюдения </w:t>
      </w:r>
      <w:hyperlink r:id="rId7" w:history="1">
        <w:r w:rsidR="00D515CB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Сводов</w:t>
        </w:r>
      </w:hyperlink>
      <w:r w:rsidR="00D515CB">
        <w:rPr>
          <w:rFonts w:ascii="Georgia" w:eastAsia="Times New Roman" w:hAnsi="Georgia" w:cs="Times New Roman"/>
          <w:color w:val="DD3333"/>
          <w:sz w:val="21"/>
          <w:szCs w:val="21"/>
          <w:lang w:eastAsia="ru-RU"/>
        </w:rPr>
        <w:t xml:space="preserve"> правил</w:t>
      </w: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и </w:t>
      </w:r>
      <w:hyperlink r:id="rId8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Правил пожарной безопасности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E06EC0" w:rsidRPr="00E06EC0" w:rsidRDefault="00E06EC0" w:rsidP="00E06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Несоблюдение </w:t>
      </w:r>
      <w:hyperlink r:id="rId9" w:history="1">
        <w:r w:rsidR="00D515CB"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Правил пожарной безопасности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персоналом предприятия.</w:t>
      </w:r>
    </w:p>
    <w:p w:rsidR="00E06EC0" w:rsidRPr="00E06EC0" w:rsidRDefault="00E06EC0" w:rsidP="00E06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Нарушение технологического процесса (сварочные работы, использование электрооборудования), которое приводит к возникновению пожара.</w:t>
      </w:r>
    </w:p>
    <w:p w:rsidR="00E06EC0" w:rsidRPr="00E06EC0" w:rsidRDefault="00E06EC0" w:rsidP="00E06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Использование неисправного оборудования в процессе работы на предприятии.</w:t>
      </w:r>
    </w:p>
    <w:p w:rsidR="00E06EC0" w:rsidRPr="00E06EC0" w:rsidRDefault="00E06EC0" w:rsidP="00E06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Здание не оснащено необходимым </w:t>
      </w:r>
      <w:hyperlink r:id="rId10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пожарным оборудованием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: </w:t>
      </w:r>
      <w:hyperlink r:id="rId11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пожарные шкафы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 </w:t>
      </w:r>
      <w:hyperlink r:id="rId12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пожарные щиты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, а также</w:t>
      </w:r>
      <w:r w:rsidR="00D515CB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hyperlink r:id="rId13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огнетушител</w:t>
        </w:r>
        <w:r w:rsidR="00D515CB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ями</w:t>
        </w:r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 xml:space="preserve"> различного типа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</w:p>
    <w:p w:rsidR="00E06EC0" w:rsidRPr="00E06EC0" w:rsidRDefault="00E06EC0" w:rsidP="00E06EC0">
      <w:pPr>
        <w:shd w:val="clear" w:color="auto" w:fill="FFFFFF"/>
        <w:spacing w:before="375" w:after="225" w:line="270" w:lineRule="atLeast"/>
        <w:jc w:val="center"/>
        <w:outlineLvl w:val="2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lastRenderedPageBreak/>
        <w:t>Пожар на предприятии имеет свойство распространяться с огромной скоростью. Этому способствует:</w:t>
      </w:r>
    </w:p>
    <w:p w:rsidR="00E06EC0" w:rsidRPr="00E06EC0" w:rsidRDefault="00E06EC0" w:rsidP="00E06EC0">
      <w:pPr>
        <w:shd w:val="clear" w:color="auto" w:fill="FFFFFF"/>
        <w:spacing w:before="225" w:after="225" w:line="30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120000" cy="2353846"/>
            <wp:effectExtent l="0" t="0" r="0" b="8890"/>
            <wp:docPr id="2" name="Рисунок 2" descr="prichini pozha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chini pozhara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3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Отсутствие или непригодность </w:t>
      </w:r>
      <w:hyperlink r:id="rId15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первичных средств пожаротушения</w:t>
        </w:r>
      </w:hyperlink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Отсутствие средств, препятствующих распространению пожара, таких как </w:t>
      </w:r>
      <w:hyperlink r:id="rId16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противопожарные двери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(огнестойкие двери).</w:t>
      </w:r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Хранение большого количества горючих, легковоспламеняющихся веществ и материалов на складах и непосредственно в помещениях.</w:t>
      </w:r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Низкая скорость обнаружения возникшего возгорания.</w:t>
      </w:r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Отсутствие средств автоматического тушения пожара.</w:t>
      </w:r>
    </w:p>
    <w:p w:rsidR="00E06EC0" w:rsidRPr="00E06EC0" w:rsidRDefault="00E06EC0" w:rsidP="00E06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Неправильное тушение пожара</w:t>
      </w:r>
    </w:p>
    <w:p w:rsidR="00E06EC0" w:rsidRPr="00E06EC0" w:rsidRDefault="00E06EC0" w:rsidP="00E06EC0">
      <w:pPr>
        <w:shd w:val="clear" w:color="auto" w:fill="FFFFFF"/>
        <w:spacing w:before="225" w:after="225" w:line="300" w:lineRule="atLeast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В жилых зданиях пожар быстрее распространяется из-за того, что в помещение поступает кислород, подпитывающий пламя. Поэтому не рекомендуется при возникновении пожара разбивать окна, открывать двери и т.п.</w:t>
      </w:r>
    </w:p>
    <w:p w:rsidR="00E06EC0" w:rsidRPr="00E06EC0" w:rsidRDefault="00E06EC0" w:rsidP="00E06EC0">
      <w:pPr>
        <w:shd w:val="clear" w:color="auto" w:fill="FFFFFF"/>
        <w:spacing w:before="375" w:after="225" w:line="270" w:lineRule="atLeast"/>
        <w:jc w:val="center"/>
        <w:outlineLvl w:val="2"/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7"/>
          <w:szCs w:val="27"/>
          <w:lang w:eastAsia="ru-RU"/>
        </w:rPr>
        <w:t>Для того чтобы, предупредить возникновение пожара в помещении, сохранить жизнь и имущество, необходимо:</w:t>
      </w:r>
    </w:p>
    <w:p w:rsidR="00E06EC0" w:rsidRPr="00E06EC0" w:rsidRDefault="00E06EC0" w:rsidP="00E06EC0">
      <w:pPr>
        <w:shd w:val="clear" w:color="auto" w:fill="FFFFFF"/>
        <w:spacing w:before="225" w:after="225" w:line="300" w:lineRule="atLeast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120000" cy="2353846"/>
            <wp:effectExtent l="0" t="0" r="0" b="8890"/>
            <wp:docPr id="1" name="Рисунок 1" descr="prichini pozha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chini pozhara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3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При возникновении пожара - Оперативный звонок 01! С мобильного 112.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Укомплектовать помещение или производственный объект необходимыми </w:t>
      </w:r>
      <w:hyperlink r:id="rId18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средствами пожаротушения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и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hyperlink r:id="rId19" w:history="1">
        <w:r w:rsidRPr="00E06EC0">
          <w:rPr>
            <w:rFonts w:ascii="Georgia" w:eastAsia="Times New Roman" w:hAnsi="Georgia" w:cs="Times New Roman"/>
            <w:color w:val="DD3333"/>
            <w:sz w:val="21"/>
            <w:szCs w:val="21"/>
            <w:lang w:eastAsia="ru-RU"/>
          </w:rPr>
          <w:t>пожарным оборудованием</w:t>
        </w:r>
      </w:hyperlink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. К такому оборудованию относятся: </w:t>
      </w: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огнетушители, пожарные шкафы, укомплектованные пожарными рукавами, пожарные щиты с инвентарем, планы эвакуации и знаки безопасности.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 хранить в доме запасы легковоспламеняющихся и горючих жидкостей и материалов вблизи открытого огня или сильно нагретых электроприборов.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Соблюдайте осторожность при использовании предметов бытовой химии, а также при их утилизации.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Запрещено держать на лестничных площадках мебель, легковоспламеняющиеся вещества, загромождать чердаки и подвалы.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Не используйте электронагревательные приборы вблизи горючих веществ.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Проверьте на исправность все выключатели, вилки и розетки в помещении. Проверьте исправность электроприборов.</w:t>
      </w:r>
    </w:p>
    <w:p w:rsidR="00E06EC0" w:rsidRPr="00E06EC0" w:rsidRDefault="00E06EC0" w:rsidP="00E06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Н</w:t>
      </w:r>
      <w:r w:rsidRPr="00E06EC0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е перегружайте электросеть.</w:t>
      </w:r>
    </w:p>
    <w:p w:rsidR="004E0BCE" w:rsidRDefault="004E0BCE" w:rsidP="004E0B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color w:val="404344"/>
          <w:sz w:val="28"/>
          <w:szCs w:val="28"/>
        </w:rPr>
      </w:pPr>
    </w:p>
    <w:p w:rsidR="004E0BCE" w:rsidRDefault="004E0BCE" w:rsidP="004E0BC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D9528F">
        <w:rPr>
          <w:b/>
        </w:rPr>
        <w:t>ОНД</w:t>
      </w:r>
      <w:r w:rsidR="00004C27">
        <w:rPr>
          <w:b/>
        </w:rPr>
        <w:t>ПР</w:t>
      </w:r>
      <w:r w:rsidRPr="00D9528F">
        <w:rPr>
          <w:b/>
        </w:rPr>
        <w:t xml:space="preserve"> Фрунзенского района</w:t>
      </w:r>
      <w:r>
        <w:rPr>
          <w:b/>
        </w:rPr>
        <w:t>;</w:t>
      </w:r>
    </w:p>
    <w:p w:rsidR="004E0BCE" w:rsidRPr="002F7E76" w:rsidRDefault="002F7E76" w:rsidP="004E0BCE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EE649C" w:rsidRPr="00EE649C" w:rsidRDefault="00EE649C" w:rsidP="00EE649C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EE649C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p w:rsidR="002F7E76" w:rsidRPr="004E0BCE" w:rsidRDefault="00EE649C" w:rsidP="004E0BCE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ВДПО Фрунзенского района</w:t>
      </w:r>
      <w:bookmarkStart w:id="0" w:name="_GoBack"/>
      <w:bookmarkEnd w:id="0"/>
    </w:p>
    <w:p w:rsidR="00076071" w:rsidRDefault="00076071"/>
    <w:sectPr w:rsidR="0007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2385"/>
    <w:multiLevelType w:val="multilevel"/>
    <w:tmpl w:val="B67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50DAE"/>
    <w:multiLevelType w:val="multilevel"/>
    <w:tmpl w:val="0C1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633D9"/>
    <w:multiLevelType w:val="multilevel"/>
    <w:tmpl w:val="8D2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51BBA"/>
    <w:multiLevelType w:val="multilevel"/>
    <w:tmpl w:val="A762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C0"/>
    <w:rsid w:val="00004C27"/>
    <w:rsid w:val="00076071"/>
    <w:rsid w:val="002F7E76"/>
    <w:rsid w:val="004E0BCE"/>
    <w:rsid w:val="00D515CB"/>
    <w:rsid w:val="00E06EC0"/>
    <w:rsid w:val="00E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4F87"/>
  <w15:docId w15:val="{F72B05B3-3AE5-4FAA-AE4D-84DD513E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6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EC0"/>
  </w:style>
  <w:style w:type="character" w:styleId="a4">
    <w:name w:val="Hyperlink"/>
    <w:basedOn w:val="a0"/>
    <w:uiPriority w:val="99"/>
    <w:semiHidden/>
    <w:unhideWhenUsed/>
    <w:rsid w:val="00E06E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E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pozh.ru/ppb.html" TargetMode="External"/><Relationship Id="rId13" Type="http://schemas.openxmlformats.org/officeDocument/2006/relationships/hyperlink" Target="http://www.rostpozh.ru/ognetushiteli.html" TargetMode="External"/><Relationship Id="rId18" Type="http://schemas.openxmlformats.org/officeDocument/2006/relationships/hyperlink" Target="http://www.rostpozh.ru/sredstva-pozharotusheniy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ostpozh.ru/snip.html" TargetMode="External"/><Relationship Id="rId12" Type="http://schemas.openxmlformats.org/officeDocument/2006/relationships/hyperlink" Target="http://www.rostpozh.ru/pozharnye-wity.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rostpozh.ru/dveri-protivopozharny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ostpozh.ru/pozharnye-shkafy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ostpozh.ru/sredstva-pozharotusheniya.html" TargetMode="External"/><Relationship Id="rId10" Type="http://schemas.openxmlformats.org/officeDocument/2006/relationships/hyperlink" Target="http://www.rostpozh.ru/all-production.html" TargetMode="External"/><Relationship Id="rId19" Type="http://schemas.openxmlformats.org/officeDocument/2006/relationships/hyperlink" Target="http://www.rostpozh.ru/all-produ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tpozh.ru/ppb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2015-08-12T09:39:00Z</dcterms:created>
  <dcterms:modified xsi:type="dcterms:W3CDTF">2018-11-09T08:07:00Z</dcterms:modified>
</cp:coreProperties>
</file>